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22049" w:rsidRDefault="00FB2868" w:rsidP="00FB2868">
      <w:pPr>
        <w:pStyle w:val="Title"/>
        <w:rPr>
          <w:lang w:val="en-GB"/>
        </w:rPr>
      </w:pPr>
      <w:bookmarkStart w:id="0" w:name="_Hlk223693244"/>
      <w:r w:rsidRPr="00222049">
        <w:rPr>
          <w:lang w:val="en-GB"/>
        </w:rPr>
        <w:t>Reform step monitoring template</w:t>
      </w:r>
    </w:p>
    <w:p w14:paraId="40E56BA5" w14:textId="77777777" w:rsidR="00FB2868" w:rsidRPr="00222049" w:rsidRDefault="00FB2868" w:rsidP="00FB2868">
      <w:pPr>
        <w:pStyle w:val="Heading1"/>
        <w:numPr>
          <w:ilvl w:val="0"/>
          <w:numId w:val="1"/>
        </w:numPr>
        <w:rPr>
          <w:lang w:val="en-GB"/>
        </w:rPr>
      </w:pPr>
      <w:r w:rsidRPr="00222049">
        <w:rPr>
          <w:lang w:val="en-GB"/>
        </w:rPr>
        <w:t>Step overview</w:t>
      </w:r>
    </w:p>
    <w:p w14:paraId="3C5F72EE" w14:textId="77777777" w:rsidR="00FB2868" w:rsidRPr="00222049"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22049" w14:paraId="172759EA" w14:textId="77777777">
        <w:trPr>
          <w:trHeight w:val="399"/>
        </w:trPr>
        <w:tc>
          <w:tcPr>
            <w:tcW w:w="2122" w:type="dxa"/>
            <w:shd w:val="clear" w:color="auto" w:fill="0E2841" w:themeFill="text2"/>
          </w:tcPr>
          <w:p w14:paraId="34C8F412"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6669059B" w:rsidR="00FB2868" w:rsidRPr="00222049" w:rsidRDefault="00FE58C5">
            <w:pPr>
              <w:spacing w:before="120" w:after="120"/>
              <w:rPr>
                <w:rFonts w:ascii="Aptos" w:eastAsia="Times New Roman" w:hAnsi="Aptos" w:cs="Times New Roman"/>
                <w:b/>
                <w:bCs/>
                <w:color w:val="000000"/>
                <w:kern w:val="0"/>
                <w:sz w:val="20"/>
                <w:szCs w:val="20"/>
                <w:lang w:val="en-GB" w:eastAsia="en-GB"/>
                <w14:ligatures w14:val="none"/>
              </w:rPr>
            </w:pPr>
            <w:r w:rsidRPr="00222049">
              <w:rPr>
                <w:rFonts w:ascii="Aptos" w:eastAsia="Times New Roman" w:hAnsi="Aptos" w:cs="Times New Roman"/>
                <w:b/>
                <w:bCs/>
                <w:color w:val="000000"/>
                <w:kern w:val="0"/>
                <w:sz w:val="20"/>
                <w:szCs w:val="20"/>
                <w:lang w:val="en-GB" w:eastAsia="en-GB"/>
                <w14:ligatures w14:val="none"/>
              </w:rPr>
              <w:t>9.1. Democracy</w:t>
            </w:r>
          </w:p>
        </w:tc>
      </w:tr>
      <w:tr w:rsidR="00FB2868" w:rsidRPr="00222049" w14:paraId="16793E17" w14:textId="77777777">
        <w:trPr>
          <w:trHeight w:val="393"/>
        </w:trPr>
        <w:tc>
          <w:tcPr>
            <w:tcW w:w="2122" w:type="dxa"/>
            <w:shd w:val="clear" w:color="auto" w:fill="0E2841" w:themeFill="text2"/>
          </w:tcPr>
          <w:p w14:paraId="5BB12AB7"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0E3F8ADA" w:rsidR="00FB2868" w:rsidRPr="00222049" w:rsidRDefault="00FE58C5">
            <w:pPr>
              <w:spacing w:before="120" w:after="120"/>
              <w:rPr>
                <w:rFonts w:ascii="Aptos" w:eastAsia="Times New Roman" w:hAnsi="Aptos" w:cs="Times New Roman"/>
                <w:b/>
                <w:bCs/>
                <w:color w:val="000000"/>
                <w:kern w:val="0"/>
                <w:sz w:val="20"/>
                <w:szCs w:val="20"/>
                <w:lang w:val="en-GB" w:eastAsia="en-GB"/>
                <w14:ligatures w14:val="none"/>
              </w:rPr>
            </w:pPr>
            <w:r w:rsidRPr="00222049">
              <w:rPr>
                <w:rFonts w:ascii="Aptos" w:eastAsia="Times New Roman" w:hAnsi="Aptos" w:cs="Times New Roman"/>
                <w:b/>
                <w:bCs/>
                <w:color w:val="000000"/>
                <w:kern w:val="0"/>
                <w:sz w:val="20"/>
                <w:szCs w:val="20"/>
                <w:lang w:val="en-GB" w:eastAsia="en-GB"/>
                <w14:ligatures w14:val="none"/>
              </w:rPr>
              <w:t>9.1.1. Prepare a Roadmap/Plan and address recommendations of OSCE/ODIHR and Council of Europe bodies on the electoral framework</w:t>
            </w:r>
          </w:p>
        </w:tc>
      </w:tr>
      <w:tr w:rsidR="00FB2868" w:rsidRPr="00222049" w14:paraId="292FB949" w14:textId="77777777">
        <w:trPr>
          <w:trHeight w:val="393"/>
        </w:trPr>
        <w:tc>
          <w:tcPr>
            <w:tcW w:w="2122" w:type="dxa"/>
            <w:shd w:val="clear" w:color="auto" w:fill="0E2841" w:themeFill="text2"/>
          </w:tcPr>
          <w:p w14:paraId="444FA9A9"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03D39545" w:rsidR="00FB2868" w:rsidRPr="00222049" w:rsidRDefault="00FE58C5" w:rsidP="003349E2">
            <w:pPr>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Status of the electoral framework and its implementation</w:t>
            </w:r>
          </w:p>
        </w:tc>
      </w:tr>
      <w:tr w:rsidR="00FB2868" w:rsidRPr="00222049" w14:paraId="497EE0E9" w14:textId="77777777">
        <w:trPr>
          <w:trHeight w:val="759"/>
        </w:trPr>
        <w:tc>
          <w:tcPr>
            <w:tcW w:w="2122" w:type="dxa"/>
            <w:shd w:val="clear" w:color="auto" w:fill="0E2841" w:themeFill="text2"/>
          </w:tcPr>
          <w:p w14:paraId="26E3E8E2"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Reform Step</w:t>
            </w:r>
          </w:p>
        </w:tc>
        <w:tc>
          <w:tcPr>
            <w:tcW w:w="6804" w:type="dxa"/>
          </w:tcPr>
          <w:p w14:paraId="644C0FFA" w14:textId="77777777" w:rsidR="00FE58C5" w:rsidRPr="00222049"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 xml:space="preserve">First composite step due by December 2024 (subject to ODIHR assessment as the verification mechanism), </w:t>
            </w:r>
          </w:p>
          <w:p w14:paraId="550DD0EC" w14:textId="77777777" w:rsidR="00FE58C5" w:rsidRPr="00222049" w:rsidRDefault="00FE58C5" w:rsidP="00FE58C5">
            <w:pPr>
              <w:spacing w:before="120" w:after="120"/>
              <w:rPr>
                <w:rFonts w:ascii="Aptos" w:eastAsia="Times New Roman" w:hAnsi="Aptos" w:cs="Times New Roman"/>
                <w:b/>
                <w:bCs/>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w:t>
            </w:r>
            <w:r w:rsidRPr="00222049">
              <w:rPr>
                <w:rFonts w:ascii="Aptos" w:eastAsia="Times New Roman" w:hAnsi="Aptos" w:cs="Times New Roman"/>
                <w:color w:val="000000"/>
                <w:kern w:val="0"/>
                <w:sz w:val="20"/>
                <w:szCs w:val="20"/>
                <w:lang w:val="en-GB" w:eastAsia="en-GB"/>
                <w14:ligatures w14:val="none"/>
              </w:rPr>
              <w:tab/>
            </w:r>
            <w:r w:rsidRPr="00222049">
              <w:rPr>
                <w:rFonts w:ascii="Aptos" w:eastAsia="Times New Roman" w:hAnsi="Aptos" w:cs="Times New Roman"/>
                <w:b/>
                <w:bCs/>
                <w:color w:val="000000"/>
                <w:kern w:val="0"/>
                <w:sz w:val="20"/>
                <w:szCs w:val="20"/>
                <w:lang w:val="en-GB" w:eastAsia="en-GB"/>
                <w14:ligatures w14:val="none"/>
              </w:rPr>
              <w:t xml:space="preserve">WG composed in accordance with the ODIHR recommendation. </w:t>
            </w:r>
            <w:proofErr w:type="gramStart"/>
            <w:r w:rsidRPr="00222049">
              <w:rPr>
                <w:rFonts w:ascii="Aptos" w:eastAsia="Times New Roman" w:hAnsi="Aptos" w:cs="Times New Roman"/>
                <w:b/>
                <w:bCs/>
                <w:color w:val="000000"/>
                <w:kern w:val="0"/>
                <w:sz w:val="20"/>
                <w:szCs w:val="20"/>
                <w:lang w:val="en-GB" w:eastAsia="en-GB"/>
                <w14:ligatures w14:val="none"/>
              </w:rPr>
              <w:t>The</w:t>
            </w:r>
            <w:proofErr w:type="gramEnd"/>
            <w:r w:rsidRPr="00222049">
              <w:rPr>
                <w:rFonts w:ascii="Aptos" w:eastAsia="Times New Roman" w:hAnsi="Aptos" w:cs="Times New Roman"/>
                <w:b/>
                <w:bCs/>
                <w:color w:val="000000"/>
                <w:kern w:val="0"/>
                <w:sz w:val="20"/>
                <w:szCs w:val="20"/>
                <w:lang w:val="en-GB" w:eastAsia="en-GB"/>
                <w14:ligatures w14:val="none"/>
              </w:rPr>
              <w:t xml:space="preserve"> would mean inter-agency Working Group on Co-ordination and Follow-up of the Implementation of Recommendations for the Improvement of the Electoral Process should act in full transparency, with the inclusion of relevant stakeholders, such as civil society organizations.</w:t>
            </w:r>
          </w:p>
          <w:p w14:paraId="0E14C52E" w14:textId="77777777" w:rsidR="00FE58C5" w:rsidRPr="00222049"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w:t>
            </w:r>
            <w:r w:rsidRPr="00222049">
              <w:rPr>
                <w:rFonts w:ascii="Aptos" w:eastAsia="Times New Roman" w:hAnsi="Aptos" w:cs="Times New Roman"/>
                <w:color w:val="000000"/>
                <w:kern w:val="0"/>
                <w:sz w:val="20"/>
                <w:szCs w:val="20"/>
                <w:lang w:val="en-GB" w:eastAsia="en-GB"/>
                <w14:ligatures w14:val="none"/>
              </w:rPr>
              <w:tab/>
              <w:t>A meaningful audit of voter register completed in accordance with ODIHR recommendations. This step means establishment of the Commission which will oversee and control voters register. The Commission should include representatives of opposition, as well as relevant civil society organizations. The implementation of this recommendation should be recognized/verified by ODIHR.</w:t>
            </w:r>
          </w:p>
          <w:p w14:paraId="1069E4E5" w14:textId="4DDD2836" w:rsidR="00FB2868" w:rsidRPr="00222049"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w:t>
            </w:r>
            <w:r w:rsidRPr="00222049">
              <w:rPr>
                <w:rFonts w:ascii="Aptos" w:eastAsia="Times New Roman" w:hAnsi="Aptos" w:cs="Times New Roman"/>
                <w:color w:val="000000"/>
                <w:kern w:val="0"/>
                <w:sz w:val="20"/>
                <w:szCs w:val="20"/>
                <w:lang w:val="en-GB" w:eastAsia="en-GB"/>
                <w14:ligatures w14:val="none"/>
              </w:rPr>
              <w:tab/>
              <w:t>REM Council is re-elected (in line with the Law on electronic media) in a transparent and inclusive process. Clear explanation of this step is given in the relevant law.</w:t>
            </w:r>
          </w:p>
        </w:tc>
      </w:tr>
      <w:tr w:rsidR="00FB2868" w:rsidRPr="00222049" w14:paraId="62A8853E" w14:textId="77777777">
        <w:trPr>
          <w:trHeight w:val="559"/>
        </w:trPr>
        <w:tc>
          <w:tcPr>
            <w:tcW w:w="2122" w:type="dxa"/>
            <w:shd w:val="clear" w:color="auto" w:fill="0E2841" w:themeFill="text2"/>
          </w:tcPr>
          <w:p w14:paraId="23871B92" w14:textId="77777777" w:rsidR="00FB2868" w:rsidRPr="00222049" w:rsidRDefault="00FB2868">
            <w:pPr>
              <w:spacing w:before="120" w:after="120"/>
              <w:rPr>
                <w:rFonts w:ascii="Aptos" w:eastAsia="Times New Roman" w:hAnsi="Aptos" w:cs="Times New Roman"/>
                <w:sz w:val="20"/>
                <w:szCs w:val="20"/>
                <w:lang w:val="en-GB" w:eastAsia="en-GB"/>
              </w:rPr>
            </w:pPr>
            <w:r w:rsidRPr="00222049">
              <w:rPr>
                <w:rFonts w:ascii="Aptos" w:eastAsia="Times New Roman" w:hAnsi="Aptos" w:cs="Times New Roman"/>
                <w:b/>
                <w:bCs/>
                <w:kern w:val="0"/>
                <w:sz w:val="20"/>
                <w:szCs w:val="20"/>
                <w:lang w:val="en-GB" w:eastAsia="en-GB"/>
                <w14:ligatures w14:val="none"/>
              </w:rPr>
              <w:t>Step deadline</w:t>
            </w:r>
          </w:p>
        </w:tc>
        <w:tc>
          <w:tcPr>
            <w:tcW w:w="6804" w:type="dxa"/>
          </w:tcPr>
          <w:p w14:paraId="11396A1D" w14:textId="2AE0152D" w:rsidR="00FB2868" w:rsidRPr="00222049" w:rsidRDefault="00FE58C5">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December 2024</w:t>
            </w:r>
          </w:p>
        </w:tc>
      </w:tr>
      <w:tr w:rsidR="00FB2868" w:rsidRPr="00222049" w14:paraId="2102B1F0" w14:textId="77777777">
        <w:trPr>
          <w:trHeight w:val="553"/>
        </w:trPr>
        <w:tc>
          <w:tcPr>
            <w:tcW w:w="2122" w:type="dxa"/>
            <w:shd w:val="clear" w:color="auto" w:fill="0E2841" w:themeFill="text2"/>
          </w:tcPr>
          <w:p w14:paraId="760C89E4"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265D9053" w:rsidR="00FB2868" w:rsidRPr="00222049" w:rsidRDefault="00527E0C">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20.381.435,06</w:t>
            </w:r>
          </w:p>
        </w:tc>
      </w:tr>
      <w:tr w:rsidR="00FB2868" w:rsidRPr="00222049" w14:paraId="2CBE848B" w14:textId="77777777">
        <w:trPr>
          <w:trHeight w:val="535"/>
        </w:trPr>
        <w:tc>
          <w:tcPr>
            <w:tcW w:w="2122" w:type="dxa"/>
            <w:shd w:val="clear" w:color="auto" w:fill="0E2841" w:themeFill="text2"/>
          </w:tcPr>
          <w:p w14:paraId="7F7105F9" w14:textId="77777777" w:rsidR="00FB2868" w:rsidRPr="00222049" w:rsidRDefault="00FB2868">
            <w:pPr>
              <w:spacing w:before="120" w:after="120"/>
              <w:rPr>
                <w:rFonts w:ascii="Aptos" w:eastAsia="Times New Roman" w:hAnsi="Aptos" w:cs="Times New Roman"/>
                <w:b/>
                <w:bCs/>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Responsible</w:t>
            </w:r>
          </w:p>
        </w:tc>
        <w:tc>
          <w:tcPr>
            <w:tcW w:w="6804" w:type="dxa"/>
          </w:tcPr>
          <w:p w14:paraId="2DFF0DBB" w14:textId="23F9F73A" w:rsidR="00FB2868" w:rsidRPr="00222049" w:rsidRDefault="00527E0C">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Working group for the Improvement of the Electoral Process</w:t>
            </w:r>
          </w:p>
        </w:tc>
      </w:tr>
      <w:tr w:rsidR="00FB2868" w:rsidRPr="00222049" w14:paraId="55F650B8" w14:textId="77777777">
        <w:trPr>
          <w:trHeight w:val="583"/>
        </w:trPr>
        <w:tc>
          <w:tcPr>
            <w:tcW w:w="2122" w:type="dxa"/>
            <w:shd w:val="clear" w:color="auto" w:fill="0E2841" w:themeFill="text2"/>
          </w:tcPr>
          <w:p w14:paraId="23EF9886" w14:textId="77777777" w:rsidR="00FB2868" w:rsidRPr="00222049" w:rsidRDefault="00FB2868">
            <w:pPr>
              <w:spacing w:before="120" w:after="120"/>
              <w:rPr>
                <w:rFonts w:ascii="Aptos" w:eastAsia="Times New Roman" w:hAnsi="Aptos" w:cs="Times New Roman"/>
                <w:sz w:val="20"/>
                <w:szCs w:val="20"/>
                <w:lang w:val="en-GB" w:eastAsia="en-GB"/>
              </w:rPr>
            </w:pPr>
            <w:r w:rsidRPr="00222049">
              <w:rPr>
                <w:rFonts w:ascii="Aptos" w:eastAsia="Times New Roman" w:hAnsi="Aptos" w:cs="Times New Roman"/>
                <w:b/>
                <w:bCs/>
                <w:kern w:val="0"/>
                <w:sz w:val="20"/>
                <w:szCs w:val="20"/>
                <w:lang w:val="en-GB" w:eastAsia="en-GB"/>
                <w14:ligatures w14:val="none"/>
              </w:rPr>
              <w:t>Baseline</w:t>
            </w:r>
          </w:p>
        </w:tc>
        <w:tc>
          <w:tcPr>
            <w:tcW w:w="6804" w:type="dxa"/>
          </w:tcPr>
          <w:p w14:paraId="39BAFFDB" w14:textId="04E1E13D" w:rsidR="00FB2868" w:rsidRPr="00222049" w:rsidRDefault="00527E0C">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ODIHR February 2024 Report recommending to address as a matter of priority recommendations pertaining to REM, Voter Register and Working group</w:t>
            </w:r>
          </w:p>
        </w:tc>
      </w:tr>
      <w:tr w:rsidR="00FB2868" w:rsidRPr="00222049" w14:paraId="3D8C29E1" w14:textId="77777777">
        <w:trPr>
          <w:trHeight w:val="577"/>
        </w:trPr>
        <w:tc>
          <w:tcPr>
            <w:tcW w:w="2122" w:type="dxa"/>
            <w:shd w:val="clear" w:color="auto" w:fill="0E2841" w:themeFill="text2"/>
          </w:tcPr>
          <w:p w14:paraId="65838CB7" w14:textId="77777777" w:rsidR="00FB2868" w:rsidRPr="00222049" w:rsidRDefault="00FB2868">
            <w:pPr>
              <w:spacing w:before="120" w:after="120"/>
              <w:rPr>
                <w:rFonts w:ascii="Aptos" w:eastAsia="Times New Roman" w:hAnsi="Aptos" w:cs="Times New Roman"/>
                <w:b/>
                <w:bCs/>
                <w:color w:val="000000"/>
                <w:kern w:val="0"/>
                <w:sz w:val="20"/>
                <w:szCs w:val="20"/>
                <w:lang w:val="en-GB" w:eastAsia="en-GB"/>
                <w14:ligatures w14:val="none"/>
              </w:rPr>
            </w:pPr>
            <w:r w:rsidRPr="00222049">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53AAE2FC" w:rsidR="00FB2868" w:rsidRPr="00222049" w:rsidRDefault="00527E0C">
            <w:pPr>
              <w:spacing w:before="120" w:after="120"/>
              <w:rPr>
                <w:rFonts w:ascii="Aptos" w:eastAsia="Times New Roman" w:hAnsi="Aptos" w:cs="Times New Roman"/>
                <w:color w:val="000000"/>
                <w:kern w:val="0"/>
                <w:sz w:val="20"/>
                <w:szCs w:val="20"/>
                <w:lang w:val="en-GB" w:eastAsia="en-GB"/>
                <w14:ligatures w14:val="none"/>
              </w:rPr>
            </w:pPr>
            <w:r w:rsidRPr="00222049">
              <w:rPr>
                <w:rFonts w:ascii="Aptos" w:eastAsia="Times New Roman" w:hAnsi="Aptos" w:cs="Times New Roman"/>
                <w:color w:val="000000"/>
                <w:kern w:val="0"/>
                <w:sz w:val="20"/>
                <w:szCs w:val="20"/>
                <w:lang w:val="en-GB" w:eastAsia="en-GB"/>
                <w14:ligatures w14:val="none"/>
              </w:rPr>
              <w:t>ODIHR Report, Official Gazette, Decision on the establishment of the Working Group for the Improvement of the Electoral Process published</w:t>
            </w:r>
          </w:p>
        </w:tc>
      </w:tr>
    </w:tbl>
    <w:p w14:paraId="452F6E6A" w14:textId="77777777" w:rsidR="00FB2868" w:rsidRPr="00222049" w:rsidRDefault="00FB2868" w:rsidP="00FB2868">
      <w:pPr>
        <w:rPr>
          <w:lang w:val="en-GB"/>
        </w:rPr>
      </w:pPr>
    </w:p>
    <w:p w14:paraId="47ABA289" w14:textId="77777777" w:rsidR="00FB2868" w:rsidRPr="00222049" w:rsidRDefault="00FB2868" w:rsidP="00FB2868">
      <w:pPr>
        <w:pStyle w:val="Heading1"/>
        <w:numPr>
          <w:ilvl w:val="0"/>
          <w:numId w:val="1"/>
        </w:numPr>
        <w:rPr>
          <w:lang w:val="en-GB"/>
        </w:rPr>
      </w:pPr>
      <w:r w:rsidRPr="00222049">
        <w:rPr>
          <w:lang w:val="en-GB"/>
        </w:rPr>
        <w:t>Analysis</w:t>
      </w:r>
    </w:p>
    <w:p w14:paraId="1E874D4B" w14:textId="77777777" w:rsidR="00FB2868" w:rsidRPr="00222049"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22049"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lastRenderedPageBreak/>
              <w:t>Define step milestones</w:t>
            </w:r>
          </w:p>
        </w:tc>
        <w:tc>
          <w:tcPr>
            <w:tcW w:w="6753" w:type="dxa"/>
          </w:tcPr>
          <w:p w14:paraId="5352248E" w14:textId="77777777" w:rsidR="00FB2868" w:rsidRPr="0022204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11513581" w14:textId="3F042820" w:rsidR="00FB2868" w:rsidRPr="00222049"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Setting up the working group in an open </w:t>
            </w:r>
            <w:r w:rsidR="002B6CEB" w:rsidRPr="00222049">
              <w:rPr>
                <w:sz w:val="20"/>
                <w:szCs w:val="20"/>
                <w:lang w:val="en-GB"/>
              </w:rPr>
              <w:t xml:space="preserve">and transparent </w:t>
            </w:r>
            <w:r w:rsidRPr="00222049">
              <w:rPr>
                <w:sz w:val="20"/>
                <w:szCs w:val="20"/>
                <w:lang w:val="en-GB"/>
              </w:rPr>
              <w:t>process</w:t>
            </w:r>
          </w:p>
          <w:p w14:paraId="3FA34C0F" w14:textId="2680A530"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WG includes all relevant stakeholders. </w:t>
            </w:r>
          </w:p>
          <w:p w14:paraId="714CF15C" w14:textId="3E852BF2"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Work of the WG is fully transparent. </w:t>
            </w:r>
          </w:p>
          <w:p w14:paraId="72A64255" w14:textId="43BFCE15" w:rsidR="00FB2868" w:rsidRPr="00222049"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The working group jointly formulates the proposed amendments through the participation and consensus of all its members</w:t>
            </w:r>
            <w:r w:rsidR="001035F8" w:rsidRPr="00222049">
              <w:rPr>
                <w:sz w:val="20"/>
                <w:szCs w:val="20"/>
                <w:lang w:val="en-GB"/>
              </w:rPr>
              <w:t xml:space="preserve"> to address all ODIHR recommendations, in accordance with internal regulation and plan. </w:t>
            </w:r>
          </w:p>
          <w:p w14:paraId="51265D7E" w14:textId="77777777" w:rsidR="00FB286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ODIHR provides opinion on bills proposed by the WG</w:t>
            </w:r>
          </w:p>
          <w:p w14:paraId="1ECED4ED" w14:textId="77777777"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Parliament includes broader public for consultation on each WG proposal, through public hearings</w:t>
            </w:r>
          </w:p>
          <w:p w14:paraId="7C986A82" w14:textId="77777777"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Following public hearings, bills are proposed jointly by MP groups </w:t>
            </w:r>
          </w:p>
          <w:p w14:paraId="4827591D" w14:textId="7603ADEF"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ODIHR provides positive opinions to the proposed bills</w:t>
            </w:r>
          </w:p>
          <w:p w14:paraId="70DF900B" w14:textId="5E51C68C" w:rsidR="001035F8" w:rsidRPr="00222049" w:rsidRDefault="001035F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Proposed bills are adopted and published in official gazette</w:t>
            </w:r>
          </w:p>
        </w:tc>
      </w:tr>
      <w:tr w:rsidR="00FB2868" w:rsidRPr="00222049"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t>Analyse achievement of each milestone</w:t>
            </w:r>
          </w:p>
        </w:tc>
        <w:tc>
          <w:tcPr>
            <w:tcW w:w="6753" w:type="dxa"/>
          </w:tcPr>
          <w:p w14:paraId="20CBCF3F" w14:textId="02FB4B1B" w:rsidR="00FB2868" w:rsidRPr="0022204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For each identified milestone, provide a succinct analysis of its implementation process. Use numbered points corresponding to the defined milestones above. Please provide references wherever possible.</w:t>
            </w:r>
          </w:p>
          <w:p w14:paraId="51D576D0" w14:textId="5FC51C21" w:rsidR="00D25368" w:rsidRPr="00222049" w:rsidRDefault="00D25368" w:rsidP="00D253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Following consultations in Parliament during April 2024, a Working Group (WG) was established by the </w:t>
            </w:r>
            <w:hyperlink r:id="rId8" w:history="1">
              <w:r w:rsidRPr="00222049">
                <w:rPr>
                  <w:rStyle w:val="Hyperlink"/>
                  <w:sz w:val="20"/>
                  <w:szCs w:val="20"/>
                  <w:lang w:val="en-GB"/>
                </w:rPr>
                <w:t>decision</w:t>
              </w:r>
            </w:hyperlink>
            <w:r w:rsidRPr="00222049">
              <w:rPr>
                <w:sz w:val="20"/>
                <w:szCs w:val="20"/>
                <w:lang w:val="en-GB"/>
              </w:rPr>
              <w:t xml:space="preserve"> of the Parliamentary Committee for Legislative Affairs on </w:t>
            </w:r>
            <w:r w:rsidR="00222049">
              <w:rPr>
                <w:sz w:val="20"/>
                <w:szCs w:val="20"/>
                <w:lang w:val="en-GB"/>
              </w:rPr>
              <w:t>April 29th</w:t>
            </w:r>
            <w:r w:rsidRPr="00222049">
              <w:rPr>
                <w:sz w:val="20"/>
                <w:szCs w:val="20"/>
                <w:lang w:val="en-GB"/>
              </w:rPr>
              <w:t xml:space="preserve"> 2024. The concept differs from the original ODIHR proposal, as ODIHR referred to the work of the then-existing Government WG for cooperation with OSCE and ODIHR of the Serbian Government. The process of establishing the WG was not fully transparent, as it was agreed upon in </w:t>
            </w:r>
            <w:r w:rsidR="00222049">
              <w:rPr>
                <w:sz w:val="20"/>
                <w:szCs w:val="20"/>
                <w:lang w:val="en-GB"/>
              </w:rPr>
              <w:t xml:space="preserve">April </w:t>
            </w:r>
            <w:hyperlink r:id="rId9" w:history="1">
              <w:r w:rsidRPr="00222049">
                <w:rPr>
                  <w:rStyle w:val="Hyperlink"/>
                  <w:sz w:val="20"/>
                  <w:szCs w:val="20"/>
                  <w:lang w:val="en-GB"/>
                </w:rPr>
                <w:t>meetings</w:t>
              </w:r>
            </w:hyperlink>
            <w:r w:rsidRPr="00222049">
              <w:rPr>
                <w:sz w:val="20"/>
                <w:szCs w:val="20"/>
                <w:lang w:val="en-GB"/>
              </w:rPr>
              <w:t xml:space="preserve"> between the Parliamentary Chair, representatives of parliamentary groups, and three civil society organisations (invited based on proposals from opposition parties). Several representatives of international organisations and diplomatic missions also attended the series of meetings.</w:t>
            </w:r>
          </w:p>
          <w:p w14:paraId="0E7B4CF6" w14:textId="2DFF2E5F" w:rsidR="00D25368" w:rsidRPr="00222049" w:rsidRDefault="00D25368" w:rsidP="00D25368">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Working Group did not include all relevant stakeholders. Opposition parliamentary groups were divided on the issue of participation. Representatives of the executive (ministries) and independent bodies (e.g., the Agency for the Prevention of Corruption, REM) were also not included. Only three civil society organisations were selected (CRTA, CESID, and Transparency Serbia). The intention was to ensure the participation of other stakeholders through their mandatory cooperation with the WG, as regulated by the </w:t>
            </w:r>
            <w:hyperlink r:id="rId10" w:history="1">
              <w:r w:rsidRPr="00222049">
                <w:rPr>
                  <w:rStyle w:val="Hyperlink"/>
                  <w:sz w:val="20"/>
                  <w:szCs w:val="20"/>
                  <w:lang w:val="en-GB"/>
                </w:rPr>
                <w:t>Decision</w:t>
              </w:r>
            </w:hyperlink>
            <w:r w:rsidRPr="00222049">
              <w:rPr>
                <w:sz w:val="20"/>
                <w:szCs w:val="20"/>
                <w:lang w:val="en-GB"/>
              </w:rPr>
              <w:t xml:space="preserve"> on Establishment, and via broader consultation following the adoption of proposals by the WG.</w:t>
            </w:r>
          </w:p>
          <w:p w14:paraId="66131E29" w14:textId="486999B2" w:rsidR="00F37296" w:rsidRPr="00222049" w:rsidRDefault="00F37296" w:rsidP="00F37296">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operative work of the Working Group was not fully transparent, as sessions were not open to the public. However, all reports, proposals, and decisions were published on the parliamentary </w:t>
            </w:r>
            <w:hyperlink r:id="rId11" w:history="1">
              <w:r w:rsidRPr="00222049">
                <w:rPr>
                  <w:rStyle w:val="Hyperlink"/>
                  <w:sz w:val="20"/>
                  <w:szCs w:val="20"/>
                  <w:lang w:val="en-GB"/>
                </w:rPr>
                <w:t>website</w:t>
              </w:r>
            </w:hyperlink>
            <w:r w:rsidRPr="00222049">
              <w:rPr>
                <w:sz w:val="20"/>
                <w:szCs w:val="20"/>
                <w:lang w:val="en-GB"/>
              </w:rPr>
              <w:t xml:space="preserve">. The WG chair and several members were also accessible for communication with the media and other stakeholders regarding the WG’s processes. A major obstacle to transparency </w:t>
            </w:r>
            <w:r w:rsidRPr="00222049">
              <w:rPr>
                <w:sz w:val="20"/>
                <w:szCs w:val="20"/>
                <w:lang w:val="en-GB"/>
              </w:rPr>
              <w:lastRenderedPageBreak/>
              <w:t>was, however, that on behalf of the ruling parties, proposals were not drafted or negotiated solely by their representatives within the WG, but also by other individuals outside of WG sessions.</w:t>
            </w:r>
          </w:p>
          <w:p w14:paraId="4D1E0BBB" w14:textId="459ED248" w:rsidR="00927FB2" w:rsidRPr="00222049" w:rsidRDefault="00841CD3" w:rsidP="00927FB2">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While the Working Group, in principle, </w:t>
            </w:r>
            <w:hyperlink r:id="rId12" w:history="1">
              <w:r w:rsidRPr="00222049">
                <w:rPr>
                  <w:rStyle w:val="Hyperlink"/>
                  <w:sz w:val="20"/>
                  <w:szCs w:val="20"/>
                  <w:lang w:val="en-GB"/>
                </w:rPr>
                <w:t>agreed</w:t>
              </w:r>
            </w:hyperlink>
            <w:r w:rsidRPr="00222049">
              <w:rPr>
                <w:sz w:val="20"/>
                <w:szCs w:val="20"/>
                <w:lang w:val="en-GB"/>
              </w:rPr>
              <w:t xml:space="preserve"> on its work plan in June 2024—aimed at fulfilling the objectives set out in the amended Decision on Establishment, namely to propose bills or other measures addressing all outstanding ODIHR recommendations for adoption by July 2025—in practice, the WG did not reach consensus on any decision. During the December 2024 sessions, WG members were </w:t>
            </w:r>
            <w:hyperlink r:id="rId13" w:history="1">
              <w:r w:rsidRPr="00222049">
                <w:rPr>
                  <w:rStyle w:val="Hyperlink"/>
                  <w:sz w:val="20"/>
                  <w:szCs w:val="20"/>
                  <w:lang w:val="en-GB"/>
                </w:rPr>
                <w:t>divided</w:t>
              </w:r>
            </w:hyperlink>
            <w:r w:rsidRPr="00222049">
              <w:rPr>
                <w:sz w:val="20"/>
                <w:szCs w:val="20"/>
                <w:lang w:val="en-GB"/>
              </w:rPr>
              <w:t xml:space="preserve"> in votes on two concurrent proposals for a law intended to provide the legal framework for auditing the voter register. As this piece of legislation was identified by the majority as the top priority, it was the only proposal on which most members actually voted. Earlier, in May 2024, civil society and opposition members had put forward </w:t>
            </w:r>
            <w:hyperlink r:id="rId14" w:history="1">
              <w:r w:rsidRPr="001178B9">
                <w:rPr>
                  <w:rStyle w:val="Hyperlink"/>
                  <w:sz w:val="20"/>
                  <w:szCs w:val="20"/>
                  <w:lang w:val="en-GB"/>
                </w:rPr>
                <w:t>25 proposals</w:t>
              </w:r>
            </w:hyperlink>
            <w:r w:rsidRPr="00222049">
              <w:rPr>
                <w:sz w:val="20"/>
                <w:szCs w:val="20"/>
                <w:lang w:val="en-GB"/>
              </w:rPr>
              <w:t xml:space="preserve"> for voting, but representatives of the ruling parties </w:t>
            </w:r>
            <w:hyperlink r:id="rId15" w:history="1">
              <w:r w:rsidRPr="001178B9">
                <w:rPr>
                  <w:rStyle w:val="Hyperlink"/>
                  <w:sz w:val="20"/>
                  <w:szCs w:val="20"/>
                  <w:lang w:val="en-GB"/>
                </w:rPr>
                <w:t>refused</w:t>
              </w:r>
            </w:hyperlink>
            <w:r w:rsidRPr="00222049">
              <w:rPr>
                <w:sz w:val="20"/>
                <w:szCs w:val="20"/>
                <w:lang w:val="en-GB"/>
              </w:rPr>
              <w:t xml:space="preserve"> to participate in the vote.</w:t>
            </w:r>
            <w:r w:rsidR="00927FB2" w:rsidRPr="00222049">
              <w:rPr>
                <w:sz w:val="20"/>
                <w:szCs w:val="20"/>
                <w:lang w:val="en-GB"/>
              </w:rPr>
              <w:t xml:space="preserve"> </w:t>
            </w:r>
          </w:p>
          <w:p w14:paraId="15CD5D3C" w14:textId="64CE9795" w:rsidR="00927FB2" w:rsidRPr="00222049" w:rsidRDefault="00927FB2" w:rsidP="00927FB2">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At the request of the WG Chair and in accordance with the agreed procedure, ODIHR provided </w:t>
            </w:r>
            <w:hyperlink r:id="rId16" w:history="1">
              <w:r w:rsidRPr="001178B9">
                <w:rPr>
                  <w:rStyle w:val="Hyperlink"/>
                  <w:sz w:val="20"/>
                  <w:szCs w:val="20"/>
                  <w:lang w:val="en-GB"/>
                </w:rPr>
                <w:t>opinions</w:t>
              </w:r>
            </w:hyperlink>
            <w:r w:rsidRPr="00222049">
              <w:rPr>
                <w:sz w:val="20"/>
                <w:szCs w:val="20"/>
                <w:lang w:val="en-GB"/>
              </w:rPr>
              <w:t xml:space="preserve"> on the concurrent drafts of the Law on the Unified Voter Register (submitted by CRTA and SNS), as well as on their revised versions (second version). ODIHR also provided a joint opinion on the two concurrent drafts of amendments to the Law on the Prevention of Corruption (submitted by Transparency Serbia and SNS). All opinions indicated that further improvements were required in the draft laws.</w:t>
            </w:r>
          </w:p>
          <w:p w14:paraId="7A048974" w14:textId="639D8D36" w:rsidR="00841CD3" w:rsidRPr="00222049" w:rsidRDefault="00CB765D" w:rsidP="00CB765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Parliamentary Committee for Constitutional Affairs organised a series of </w:t>
            </w:r>
            <w:hyperlink r:id="rId17" w:history="1">
              <w:r w:rsidRPr="001178B9">
                <w:rPr>
                  <w:rStyle w:val="Hyperlink"/>
                  <w:sz w:val="20"/>
                  <w:szCs w:val="20"/>
                  <w:lang w:val="en-GB"/>
                </w:rPr>
                <w:t>public hearings</w:t>
              </w:r>
            </w:hyperlink>
            <w:r w:rsidRPr="00222049">
              <w:rPr>
                <w:sz w:val="20"/>
                <w:szCs w:val="20"/>
                <w:lang w:val="en-GB"/>
              </w:rPr>
              <w:t xml:space="preserve"> on the two competing drafts produced within the Working Group. However, starting from the first public hearing, a new SNS proposal of the same draft (a third version) was also included and </w:t>
            </w:r>
            <w:hyperlink r:id="rId18" w:history="1">
              <w:r w:rsidRPr="001178B9">
                <w:rPr>
                  <w:rStyle w:val="Hyperlink"/>
                  <w:sz w:val="20"/>
                  <w:szCs w:val="20"/>
                  <w:lang w:val="en-GB"/>
                </w:rPr>
                <w:t>falsely presented</w:t>
              </w:r>
            </w:hyperlink>
            <w:r w:rsidRPr="00222049">
              <w:rPr>
                <w:sz w:val="20"/>
                <w:szCs w:val="20"/>
                <w:lang w:val="en-GB"/>
              </w:rPr>
              <w:t xml:space="preserve"> as a product of the WG. Following this breach, representatives of CSOs (including one of the original proponents) withdrew from further public hearings. Despite this, Parliament continued to promote a series of new versions of the same bill, proposed by SNS MP Uglješa </w:t>
            </w:r>
            <w:proofErr w:type="spellStart"/>
            <w:r w:rsidRPr="00222049">
              <w:rPr>
                <w:sz w:val="20"/>
                <w:szCs w:val="20"/>
                <w:lang w:val="en-GB"/>
              </w:rPr>
              <w:t>Mrdić</w:t>
            </w:r>
            <w:proofErr w:type="spellEnd"/>
            <w:r w:rsidRPr="00222049">
              <w:rPr>
                <w:sz w:val="20"/>
                <w:szCs w:val="20"/>
                <w:lang w:val="en-GB"/>
              </w:rPr>
              <w:t xml:space="preserve"> (who was also the party’s representative in the WG), ostensibly to conduct consultations and seek ODIHR opinions, while continuously asserting links between these drafts and the WG, even though the WG had effectively ceased to function after January/February, following the withdrawal of eight of its eighteen members.</w:t>
            </w:r>
          </w:p>
          <w:p w14:paraId="5DDFCAD8" w14:textId="4252C711" w:rsidR="00CB765D" w:rsidRPr="00222049" w:rsidRDefault="00CB765D" w:rsidP="00CB765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There was no consensus among the main actors in Parliament on legislative reforms related to ODIHR recommendations, neither within the Working Group nor following its effective </w:t>
            </w:r>
            <w:r w:rsidR="001178B9">
              <w:rPr>
                <w:sz w:val="20"/>
                <w:szCs w:val="20"/>
                <w:lang w:val="en-GB"/>
              </w:rPr>
              <w:t xml:space="preserve">(although not formal) </w:t>
            </w:r>
            <w:r w:rsidRPr="00222049">
              <w:rPr>
                <w:sz w:val="20"/>
                <w:szCs w:val="20"/>
                <w:lang w:val="en-GB"/>
              </w:rPr>
              <w:t>dissolution. The SNS</w:t>
            </w:r>
            <w:r w:rsidR="001178B9">
              <w:rPr>
                <w:sz w:val="20"/>
                <w:szCs w:val="20"/>
                <w:lang w:val="sr-Cyrl-RS"/>
              </w:rPr>
              <w:t xml:space="preserve"> </w:t>
            </w:r>
            <w:r w:rsidR="001178B9">
              <w:rPr>
                <w:sz w:val="20"/>
                <w:szCs w:val="20"/>
              </w:rPr>
              <w:t>on November 2</w:t>
            </w:r>
            <w:r w:rsidR="001178B9" w:rsidRPr="001178B9">
              <w:rPr>
                <w:sz w:val="20"/>
                <w:szCs w:val="20"/>
                <w:vertAlign w:val="superscript"/>
              </w:rPr>
              <w:t>nd</w:t>
            </w:r>
            <w:r w:rsidR="001178B9">
              <w:rPr>
                <w:sz w:val="20"/>
                <w:szCs w:val="20"/>
              </w:rPr>
              <w:t xml:space="preserve"> 2025</w:t>
            </w:r>
            <w:r w:rsidRPr="00222049">
              <w:rPr>
                <w:sz w:val="20"/>
                <w:szCs w:val="20"/>
                <w:lang w:val="en-GB"/>
              </w:rPr>
              <w:t xml:space="preserve"> </w:t>
            </w:r>
            <w:hyperlink r:id="rId19" w:history="1">
              <w:r w:rsidRPr="001178B9">
                <w:rPr>
                  <w:rStyle w:val="Hyperlink"/>
                  <w:sz w:val="20"/>
                  <w:szCs w:val="20"/>
                  <w:lang w:val="en-GB"/>
                </w:rPr>
                <w:t>proposed</w:t>
              </w:r>
            </w:hyperlink>
            <w:r w:rsidRPr="00222049">
              <w:rPr>
                <w:sz w:val="20"/>
                <w:szCs w:val="20"/>
                <w:lang w:val="en-GB"/>
              </w:rPr>
              <w:t xml:space="preserve"> one bill related to the previous work of the WG, but it was significantly modified in later stages. Some opposition parliamentary groups proposed amendments.</w:t>
            </w:r>
          </w:p>
          <w:p w14:paraId="624A0454" w14:textId="1A68F997" w:rsidR="00CB765D" w:rsidRPr="00222049" w:rsidRDefault="00CB765D" w:rsidP="00CB765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ODIHR did not provide a fully positive opinion on any of the drafts it considered, whether those discussed within the Working Group and submitted by the WG, or those subsequently submitted by Parliament.</w:t>
            </w:r>
          </w:p>
          <w:p w14:paraId="2E9FAF6E" w14:textId="5A1ABF50" w:rsidR="00CB765D" w:rsidRPr="00222049" w:rsidRDefault="00CB765D" w:rsidP="00CB765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version of the Law on the Unified Voter Register (UVR) proposed by SNS and subsequently adopted by Parliament was not submitted to ODIHR for evaluation. Moreover, some of ODIHR’s earlier </w:t>
            </w:r>
            <w:hyperlink r:id="rId20" w:history="1">
              <w:r w:rsidRPr="001178B9">
                <w:rPr>
                  <w:rStyle w:val="Hyperlink"/>
                  <w:sz w:val="20"/>
                  <w:szCs w:val="20"/>
                  <w:lang w:val="en-GB"/>
                </w:rPr>
                <w:t>recommendations</w:t>
              </w:r>
            </w:hyperlink>
            <w:r w:rsidRPr="00222049">
              <w:rPr>
                <w:sz w:val="20"/>
                <w:szCs w:val="20"/>
                <w:lang w:val="en-GB"/>
              </w:rPr>
              <w:t>—particularly those concerning the composition of the Audit Committee—were clearly not taken into account in the adopted version.</w:t>
            </w:r>
          </w:p>
          <w:p w14:paraId="79694FE6" w14:textId="371876D3" w:rsidR="00FB2868" w:rsidRPr="00222049" w:rsidRDefault="00FB2868" w:rsidP="00CB765D">
            <w:pPr>
              <w:spacing w:before="120" w:after="120"/>
              <w:ind w:left="36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222049"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7C148145" w14:textId="77777777" w:rsidR="00FB2868" w:rsidRPr="0022204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502F7CD1" w14:textId="77777777" w:rsidR="001178B9" w:rsidRPr="00222049" w:rsidRDefault="001178B9" w:rsidP="001178B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The composition and working methods of the Working Group were not fully aligned with the requirements of the reform step. Nevertheless, there was sufficient potential, an adequate legal framework, and the necessary expertise to address most, if not all, outstanding ODIHR recommendations.</w:t>
            </w:r>
          </w:p>
          <w:p w14:paraId="48D43418" w14:textId="2E34845C" w:rsidR="001178B9" w:rsidRPr="00222049" w:rsidRDefault="001178B9" w:rsidP="001178B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However, the process was hindered by several factors, including a lack of genuine recognition of the most critical issues in the electoral process on the part of the ruling parties; the absence of key decision-makers representing those parties within the WG; insufficient cooperation from other government bodies; and concerns raised by opposition representatives, particularly following the June </w:t>
            </w:r>
            <w:r>
              <w:rPr>
                <w:sz w:val="20"/>
                <w:szCs w:val="20"/>
                <w:lang w:val="en-GB"/>
              </w:rPr>
              <w:t xml:space="preserve">2024 </w:t>
            </w:r>
            <w:r w:rsidRPr="00222049">
              <w:rPr>
                <w:sz w:val="20"/>
                <w:szCs w:val="20"/>
                <w:lang w:val="en-GB"/>
              </w:rPr>
              <w:t>local elections. Additional constraints included a narrow focus on the Law on the Unified Voter Register (UVR) and a broader deterioration in both the quality and feasibility of dialogue among key political stakeholders.</w:t>
            </w:r>
          </w:p>
          <w:p w14:paraId="12294BFD" w14:textId="12D4187F" w:rsidR="00203751" w:rsidRPr="00222049" w:rsidRDefault="001178B9" w:rsidP="001178B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Following a procedural breach by the very parliamentary committee that had established the WG, and the committee’s lack of interest in discussing reports on its work, the WG effectively ceased functioning. In the aftermath, neither Parliament nor the Government sought alternative approaches consistent with the applicable legal framework (for example, by preparing draft legislation within competent ministries and organising a standard consultative process). Instead, certain activities continued under the auspices of the Parliamentary Service, apparently with the aim of presenting an impression of continuity of the process.</w:t>
            </w:r>
          </w:p>
        </w:tc>
      </w:tr>
      <w:tr w:rsidR="00FB2868" w:rsidRPr="00222049"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t>Analyse how key principles of RGF were respected in the reform step implementation</w:t>
            </w:r>
          </w:p>
        </w:tc>
        <w:tc>
          <w:tcPr>
            <w:tcW w:w="6753" w:type="dxa"/>
          </w:tcPr>
          <w:p w14:paraId="17E69CB6" w14:textId="77777777" w:rsidR="00FB2868" w:rsidRPr="0022204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51766DE9" w14:textId="04144374" w:rsidR="00FB2868" w:rsidRPr="0022204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22049"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Pr="00222049"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Please provide references wherever possible.</w:t>
            </w:r>
          </w:p>
          <w:p w14:paraId="0C4141EF" w14:textId="4944295B" w:rsidR="00527E0C" w:rsidRPr="00222049" w:rsidRDefault="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22049">
              <w:rPr>
                <w:b/>
                <w:bCs/>
                <w:sz w:val="20"/>
                <w:szCs w:val="20"/>
                <w:lang w:val="en-GB"/>
              </w:rPr>
              <w:t>Key issues</w:t>
            </w:r>
          </w:p>
          <w:p w14:paraId="769B1155" w14:textId="77777777" w:rsidR="00527E0C" w:rsidRPr="00222049" w:rsidRDefault="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3E8C60A0" w14:textId="56F35E3A" w:rsidR="00935B51" w:rsidRPr="00222049"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22049">
              <w:rPr>
                <w:b/>
                <w:bCs/>
                <w:sz w:val="20"/>
                <w:szCs w:val="20"/>
                <w:lang w:val="en-GB"/>
              </w:rPr>
              <w:t>Transparency</w:t>
            </w:r>
          </w:p>
          <w:p w14:paraId="49210788" w14:textId="77777777" w:rsidR="0080611A" w:rsidRPr="00222049" w:rsidRDefault="0080611A" w:rsidP="0080611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operative work of the Working Group was not fully transparent, as sessions were not open to the public. However, all reports, proposals, and decisions were published on the parliamentary website. The WG chair and several members were also accessible for communication with the media and other stakeholders regarding the WG’s processes. A major obstacle to transparency was, however, that on behalf of the ruling parties, proposals </w:t>
            </w:r>
            <w:r w:rsidRPr="00222049">
              <w:rPr>
                <w:sz w:val="20"/>
                <w:szCs w:val="20"/>
                <w:lang w:val="en-GB"/>
              </w:rPr>
              <w:lastRenderedPageBreak/>
              <w:t>were not drafted or negotiated solely by their representatives within the WG, but also by other individuals outside of WG sessions.</w:t>
            </w:r>
          </w:p>
          <w:p w14:paraId="7C0D3213" w14:textId="77777777" w:rsidR="0080611A" w:rsidRPr="00222049" w:rsidRDefault="0080611A" w:rsidP="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p>
          <w:p w14:paraId="3A29ED2F" w14:textId="77777777" w:rsidR="00FB2868" w:rsidRPr="00222049"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22049">
              <w:rPr>
                <w:b/>
                <w:bCs/>
                <w:sz w:val="20"/>
                <w:szCs w:val="20"/>
                <w:lang w:val="en-GB"/>
              </w:rPr>
              <w:t>Inclusivity</w:t>
            </w:r>
          </w:p>
          <w:p w14:paraId="544E8C66" w14:textId="77777777" w:rsidR="0080611A" w:rsidRPr="00222049" w:rsidRDefault="0080611A" w:rsidP="0080611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The Working Group did not include all relevant stakeholders. Opposition parliamentary groups were divided on the issue of participation. Representatives of the executive (ministries) and independent bodies (e.g., the Agency for the Prevention of Corruption, REM) were also not included. Only three civil society organisations were selected (CRTA, CESID, and Transparency Serbia). The intention was to ensure the participation of other stakeholders through their mandatory cooperation with the WG, as regulated by the Decision on Establishment, and via broader consultation following the adoption of proposals by the WG.</w:t>
            </w:r>
          </w:p>
          <w:p w14:paraId="33AA7B74" w14:textId="32AEEED5" w:rsidR="0080611A" w:rsidRPr="00222049" w:rsidRDefault="0080611A"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222049"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00B01A63" w14:textId="30E36A0E" w:rsidR="00527E0C" w:rsidRPr="00222049"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Has the final source of verification (as per Reform Agenda) been made publicly available? If yes, please list the source (provide link) and date.</w:t>
            </w:r>
          </w:p>
          <w:p w14:paraId="63185E48" w14:textId="35080541" w:rsidR="00527E0C" w:rsidRPr="00222049" w:rsidRDefault="0080611A" w:rsidP="0080611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The Working Group was established by a decision of the relevant parliamentary committee. The decision and its amendments are available </w:t>
            </w:r>
            <w:hyperlink r:id="rId21" w:history="1">
              <w:r w:rsidRPr="001178B9">
                <w:rPr>
                  <w:rStyle w:val="Hyperlink"/>
                  <w:sz w:val="20"/>
                  <w:szCs w:val="20"/>
                  <w:lang w:val="en-GB"/>
                </w:rPr>
                <w:t>here</w:t>
              </w:r>
            </w:hyperlink>
            <w:r w:rsidRPr="00222049">
              <w:rPr>
                <w:sz w:val="20"/>
                <w:szCs w:val="20"/>
                <w:lang w:val="en-GB"/>
              </w:rPr>
              <w:t>. However, the WG effectively ceased functioning after its session held in late December 2024, while its tasks remained unfulfilled.</w:t>
            </w:r>
          </w:p>
          <w:p w14:paraId="6618040D" w14:textId="77777777" w:rsidR="00527E0C" w:rsidRPr="00222049" w:rsidRDefault="00527E0C"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497D6244" w14:textId="7EA7B022" w:rsidR="00FB2868" w:rsidRPr="00222049" w:rsidRDefault="00FB2868" w:rsidP="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222049"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22049" w:rsidRDefault="00FB2868">
            <w:pPr>
              <w:spacing w:before="120" w:after="120"/>
              <w:rPr>
                <w:rFonts w:ascii="Aptos" w:eastAsia="Times New Roman" w:hAnsi="Aptos" w:cs="Times New Roman"/>
                <w:kern w:val="0"/>
                <w:sz w:val="20"/>
                <w:szCs w:val="20"/>
                <w:lang w:val="en-GB" w:eastAsia="en-GB"/>
                <w14:ligatures w14:val="none"/>
              </w:rPr>
            </w:pPr>
            <w:r w:rsidRPr="00222049">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D865BAA" w14:textId="0AD54A35" w:rsidR="00527E0C" w:rsidRPr="00222049"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2049">
              <w:rPr>
                <w:i/>
                <w:iCs/>
                <w:sz w:val="20"/>
                <w:szCs w:val="20"/>
                <w:lang w:val="en-GB"/>
              </w:rPr>
              <w:t xml:space="preserve">To what extent does the final output of this reform step respect the applicable EU membership requirements/principles/standards? </w:t>
            </w:r>
          </w:p>
          <w:p w14:paraId="31336471" w14:textId="36C0FCBF" w:rsidR="00527E0C" w:rsidRPr="00222049" w:rsidRDefault="0080611A"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Not applicable. </w:t>
            </w:r>
          </w:p>
          <w:p w14:paraId="0EFDC715" w14:textId="77777777" w:rsidR="00527E0C" w:rsidRPr="00222049" w:rsidRDefault="00527E0C"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13F72F7A" w14:textId="62318C72" w:rsidR="00DD2183" w:rsidRPr="00222049" w:rsidRDefault="00DD218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4D18FB64" w14:textId="77777777" w:rsidR="00FB2868" w:rsidRPr="00222049" w:rsidRDefault="00FB2868" w:rsidP="00FB2868">
      <w:pPr>
        <w:rPr>
          <w:lang w:val="en-GB"/>
        </w:rPr>
      </w:pPr>
    </w:p>
    <w:p w14:paraId="5270FB5A" w14:textId="77777777" w:rsidR="00FB2868" w:rsidRPr="00222049" w:rsidRDefault="00FB2868" w:rsidP="00FB2868">
      <w:pPr>
        <w:pStyle w:val="Heading1"/>
        <w:numPr>
          <w:ilvl w:val="0"/>
          <w:numId w:val="1"/>
        </w:numPr>
        <w:rPr>
          <w:lang w:val="en-GB"/>
        </w:rPr>
      </w:pPr>
      <w:r w:rsidRPr="00222049">
        <w:rPr>
          <w:lang w:val="en-GB"/>
        </w:rPr>
        <w:t>Final assessment</w:t>
      </w:r>
    </w:p>
    <w:p w14:paraId="5367853C" w14:textId="77777777" w:rsidR="00FB2868" w:rsidRPr="00222049"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22049"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6AB701B6" w:rsidR="00FB2868" w:rsidRPr="00222049" w:rsidRDefault="00FB2868">
            <w:pPr>
              <w:spacing w:before="60" w:after="60"/>
              <w:rPr>
                <w:sz w:val="20"/>
                <w:szCs w:val="20"/>
                <w:lang w:val="en-GB"/>
              </w:rPr>
            </w:pPr>
            <w:r w:rsidRPr="00222049">
              <w:rPr>
                <w:sz w:val="20"/>
                <w:szCs w:val="20"/>
                <w:lang w:val="en-GB"/>
              </w:rPr>
              <w:t>Assess formal achievement</w:t>
            </w:r>
          </w:p>
        </w:tc>
        <w:tc>
          <w:tcPr>
            <w:tcW w:w="6753" w:type="dxa"/>
          </w:tcPr>
          <w:p w14:paraId="463F9E77" w14:textId="2FB2C421" w:rsidR="00FB2868" w:rsidRPr="006D1A13" w:rsidRDefault="0080611A">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6D1A13">
              <w:rPr>
                <w:b/>
                <w:bCs/>
                <w:sz w:val="20"/>
                <w:szCs w:val="20"/>
                <w:lang w:val="en-GB"/>
              </w:rPr>
              <w:t xml:space="preserve">Not achieved. </w:t>
            </w:r>
          </w:p>
        </w:tc>
      </w:tr>
      <w:tr w:rsidR="00FB2868" w:rsidRPr="00222049"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22049" w:rsidRDefault="00FB2868">
            <w:pPr>
              <w:spacing w:before="60" w:after="60"/>
              <w:rPr>
                <w:sz w:val="20"/>
                <w:szCs w:val="20"/>
                <w:lang w:val="en-GB"/>
              </w:rPr>
            </w:pPr>
            <w:r w:rsidRPr="00222049">
              <w:rPr>
                <w:sz w:val="20"/>
                <w:szCs w:val="20"/>
                <w:lang w:val="en-GB"/>
              </w:rPr>
              <w:t>Elaboration of final assessment</w:t>
            </w:r>
          </w:p>
        </w:tc>
        <w:tc>
          <w:tcPr>
            <w:tcW w:w="6753" w:type="dxa"/>
          </w:tcPr>
          <w:p w14:paraId="796EEA38" w14:textId="77777777" w:rsidR="00222049" w:rsidRDefault="00222049" w:rsidP="002220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The composition and working methods of the Working Group were not fully aligned with the requirements of the reform step. Nevertheless, there was sufficient potential, an adequate legal framework, and the necessary expertise to address most, if not all, outstanding ODIHR recommendations.</w:t>
            </w:r>
          </w:p>
          <w:p w14:paraId="2F1C675F" w14:textId="140AC6A5" w:rsidR="00222049" w:rsidRPr="00222049" w:rsidRDefault="00222049" w:rsidP="0022204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22049">
              <w:rPr>
                <w:sz w:val="20"/>
                <w:szCs w:val="20"/>
                <w:lang w:val="en-GB"/>
              </w:rPr>
              <w:t xml:space="preserve">However, the process was hindered by several factors, including a lack of genuine recognition of the most critical issues in the electoral process on the part of the ruling parties; the absence of key decision-makers representing those parties within the WG; insufficient cooperation from other government bodies; and concerns raised by opposition representatives, particularly following the June </w:t>
            </w:r>
            <w:r w:rsidR="002730AE">
              <w:rPr>
                <w:sz w:val="20"/>
                <w:szCs w:val="20"/>
                <w:lang w:val="en-GB"/>
              </w:rPr>
              <w:t xml:space="preserve">2024 </w:t>
            </w:r>
            <w:r w:rsidRPr="00222049">
              <w:rPr>
                <w:sz w:val="20"/>
                <w:szCs w:val="20"/>
                <w:lang w:val="en-GB"/>
              </w:rPr>
              <w:t xml:space="preserve">local elections. Additional constraints included a narrow focus on the Law on the Unified </w:t>
            </w:r>
            <w:r w:rsidRPr="00222049">
              <w:rPr>
                <w:sz w:val="20"/>
                <w:szCs w:val="20"/>
                <w:lang w:val="en-GB"/>
              </w:rPr>
              <w:lastRenderedPageBreak/>
              <w:t>Voter Register (UVR) and a broader deterioration in both the quality and feasibility of dialogue among key political stakeholders.</w:t>
            </w:r>
          </w:p>
          <w:p w14:paraId="2CE4B4F4" w14:textId="73278B47" w:rsidR="00527E0C" w:rsidRPr="002730AE" w:rsidRDefault="002730AE" w:rsidP="002730AE">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730AE">
              <w:rPr>
                <w:sz w:val="20"/>
                <w:szCs w:val="20"/>
              </w:rPr>
              <w:t>The Working Group did not achieve the necessary majority to adopt any of the submitted proposals by the end of December 2024, and, following the withdrawal of several members, effectively ceased functioning thereafter.</w:t>
            </w:r>
          </w:p>
        </w:tc>
      </w:tr>
    </w:tbl>
    <w:p w14:paraId="3427AEAB" w14:textId="77777777" w:rsidR="00FB2868" w:rsidRPr="00222049" w:rsidRDefault="00FB2868" w:rsidP="00FB2868">
      <w:pPr>
        <w:rPr>
          <w:lang w:val="en-GB"/>
        </w:rPr>
      </w:pPr>
    </w:p>
    <w:p w14:paraId="7164B700" w14:textId="77777777" w:rsidR="00FB2868" w:rsidRPr="00222049" w:rsidRDefault="00FB2868" w:rsidP="00FB2868">
      <w:pPr>
        <w:rPr>
          <w:lang w:val="en-GB"/>
        </w:rPr>
      </w:pPr>
    </w:p>
    <w:bookmarkEnd w:id="0"/>
    <w:p w14:paraId="2DA42CB6" w14:textId="77777777" w:rsidR="003B6E3A" w:rsidRPr="00222049" w:rsidRDefault="003B6E3A">
      <w:pPr>
        <w:rPr>
          <w:lang w:val="en-GB"/>
        </w:rPr>
      </w:pPr>
    </w:p>
    <w:sectPr w:rsidR="003B6E3A" w:rsidRPr="002220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A8DE4" w14:textId="77777777" w:rsidR="0058518E" w:rsidRDefault="0058518E" w:rsidP="00FB2868">
      <w:r>
        <w:separator/>
      </w:r>
    </w:p>
  </w:endnote>
  <w:endnote w:type="continuationSeparator" w:id="0">
    <w:p w14:paraId="635D150B" w14:textId="77777777" w:rsidR="0058518E" w:rsidRDefault="0058518E"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8A96" w14:textId="77777777" w:rsidR="0058518E" w:rsidRDefault="0058518E" w:rsidP="00FB2868">
      <w:r>
        <w:separator/>
      </w:r>
    </w:p>
  </w:footnote>
  <w:footnote w:type="continuationSeparator" w:id="0">
    <w:p w14:paraId="2FA3A4B9" w14:textId="77777777" w:rsidR="0058518E" w:rsidRDefault="0058518E"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9E2CD4"/>
    <w:multiLevelType w:val="hybridMultilevel"/>
    <w:tmpl w:val="EF40F7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EE2A54"/>
    <w:multiLevelType w:val="hybridMultilevel"/>
    <w:tmpl w:val="09F2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C738A3"/>
    <w:multiLevelType w:val="hybridMultilevel"/>
    <w:tmpl w:val="EF40F7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9074005">
    <w:abstractNumId w:val="2"/>
  </w:num>
  <w:num w:numId="2" w16cid:durableId="1811746263">
    <w:abstractNumId w:val="3"/>
  </w:num>
  <w:num w:numId="3" w16cid:durableId="732585498">
    <w:abstractNumId w:val="4"/>
  </w:num>
  <w:num w:numId="4" w16cid:durableId="368259940">
    <w:abstractNumId w:val="5"/>
  </w:num>
  <w:num w:numId="5" w16cid:durableId="458231703">
    <w:abstractNumId w:val="6"/>
  </w:num>
  <w:num w:numId="6" w16cid:durableId="1390301576">
    <w:abstractNumId w:val="0"/>
  </w:num>
  <w:num w:numId="7" w16cid:durableId="1882328610">
    <w:abstractNumId w:val="7"/>
  </w:num>
  <w:num w:numId="8" w16cid:durableId="119107832">
    <w:abstractNumId w:val="8"/>
  </w:num>
  <w:num w:numId="9" w16cid:durableId="2040426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31A7E"/>
    <w:rsid w:val="00036BE2"/>
    <w:rsid w:val="00054111"/>
    <w:rsid w:val="00081125"/>
    <w:rsid w:val="00090FF7"/>
    <w:rsid w:val="00093CB6"/>
    <w:rsid w:val="00096975"/>
    <w:rsid w:val="000A6C0C"/>
    <w:rsid w:val="000B1127"/>
    <w:rsid w:val="000C7B18"/>
    <w:rsid w:val="000D1DEB"/>
    <w:rsid w:val="000F29E9"/>
    <w:rsid w:val="00100846"/>
    <w:rsid w:val="001035F8"/>
    <w:rsid w:val="00107527"/>
    <w:rsid w:val="00110B7F"/>
    <w:rsid w:val="001178B9"/>
    <w:rsid w:val="00126617"/>
    <w:rsid w:val="0012698A"/>
    <w:rsid w:val="001411F6"/>
    <w:rsid w:val="001764F4"/>
    <w:rsid w:val="00176E50"/>
    <w:rsid w:val="001A4410"/>
    <w:rsid w:val="001C0599"/>
    <w:rsid w:val="001E374C"/>
    <w:rsid w:val="00203751"/>
    <w:rsid w:val="00222049"/>
    <w:rsid w:val="0022658B"/>
    <w:rsid w:val="00234946"/>
    <w:rsid w:val="00252799"/>
    <w:rsid w:val="002567E5"/>
    <w:rsid w:val="00257136"/>
    <w:rsid w:val="002707B4"/>
    <w:rsid w:val="00272F80"/>
    <w:rsid w:val="002730AE"/>
    <w:rsid w:val="002A3E7E"/>
    <w:rsid w:val="002A46C4"/>
    <w:rsid w:val="002A7236"/>
    <w:rsid w:val="002B6CEB"/>
    <w:rsid w:val="002C516B"/>
    <w:rsid w:val="002F0502"/>
    <w:rsid w:val="002F5301"/>
    <w:rsid w:val="00303197"/>
    <w:rsid w:val="00304D95"/>
    <w:rsid w:val="00312CCC"/>
    <w:rsid w:val="00312E5B"/>
    <w:rsid w:val="00322947"/>
    <w:rsid w:val="003349E2"/>
    <w:rsid w:val="00394698"/>
    <w:rsid w:val="00395DBC"/>
    <w:rsid w:val="003A3405"/>
    <w:rsid w:val="003A3908"/>
    <w:rsid w:val="003B6E3A"/>
    <w:rsid w:val="003C1630"/>
    <w:rsid w:val="004239EC"/>
    <w:rsid w:val="00426BED"/>
    <w:rsid w:val="004332F5"/>
    <w:rsid w:val="004909B4"/>
    <w:rsid w:val="00495151"/>
    <w:rsid w:val="004A099E"/>
    <w:rsid w:val="004B43CE"/>
    <w:rsid w:val="004E2298"/>
    <w:rsid w:val="004E553C"/>
    <w:rsid w:val="004F5C62"/>
    <w:rsid w:val="004F6EF6"/>
    <w:rsid w:val="00527E0C"/>
    <w:rsid w:val="0058518E"/>
    <w:rsid w:val="005A52D1"/>
    <w:rsid w:val="005B0381"/>
    <w:rsid w:val="005C0179"/>
    <w:rsid w:val="005C6F48"/>
    <w:rsid w:val="005E1C4F"/>
    <w:rsid w:val="006031EF"/>
    <w:rsid w:val="00604C42"/>
    <w:rsid w:val="00614FBB"/>
    <w:rsid w:val="0062353F"/>
    <w:rsid w:val="00637ACE"/>
    <w:rsid w:val="00683F6B"/>
    <w:rsid w:val="006D1A13"/>
    <w:rsid w:val="006F5760"/>
    <w:rsid w:val="007047AB"/>
    <w:rsid w:val="007111B4"/>
    <w:rsid w:val="00713C74"/>
    <w:rsid w:val="0072078A"/>
    <w:rsid w:val="007601D1"/>
    <w:rsid w:val="007929D8"/>
    <w:rsid w:val="00792FDD"/>
    <w:rsid w:val="007D7908"/>
    <w:rsid w:val="007E1B12"/>
    <w:rsid w:val="007F53FC"/>
    <w:rsid w:val="0080611A"/>
    <w:rsid w:val="008160FC"/>
    <w:rsid w:val="00841CD3"/>
    <w:rsid w:val="00842D14"/>
    <w:rsid w:val="008450ED"/>
    <w:rsid w:val="00866CB2"/>
    <w:rsid w:val="00882A21"/>
    <w:rsid w:val="008878F1"/>
    <w:rsid w:val="00893A2D"/>
    <w:rsid w:val="008945B6"/>
    <w:rsid w:val="008D7865"/>
    <w:rsid w:val="00915DE1"/>
    <w:rsid w:val="00927FB2"/>
    <w:rsid w:val="00935B51"/>
    <w:rsid w:val="00954600"/>
    <w:rsid w:val="00960D33"/>
    <w:rsid w:val="009C2A9A"/>
    <w:rsid w:val="009C2E10"/>
    <w:rsid w:val="009C6705"/>
    <w:rsid w:val="009C7887"/>
    <w:rsid w:val="00A1737E"/>
    <w:rsid w:val="00A24479"/>
    <w:rsid w:val="00A50397"/>
    <w:rsid w:val="00A52461"/>
    <w:rsid w:val="00A71549"/>
    <w:rsid w:val="00A866AB"/>
    <w:rsid w:val="00A93A36"/>
    <w:rsid w:val="00AA7AB5"/>
    <w:rsid w:val="00AC0A6B"/>
    <w:rsid w:val="00AC2E26"/>
    <w:rsid w:val="00AE2944"/>
    <w:rsid w:val="00AE5EDF"/>
    <w:rsid w:val="00AE72C5"/>
    <w:rsid w:val="00AF3CD2"/>
    <w:rsid w:val="00B21CF8"/>
    <w:rsid w:val="00B36266"/>
    <w:rsid w:val="00B52965"/>
    <w:rsid w:val="00B57961"/>
    <w:rsid w:val="00B756E1"/>
    <w:rsid w:val="00B81368"/>
    <w:rsid w:val="00B873A2"/>
    <w:rsid w:val="00BC3DB9"/>
    <w:rsid w:val="00BD584C"/>
    <w:rsid w:val="00BE62CF"/>
    <w:rsid w:val="00BF3EDB"/>
    <w:rsid w:val="00BF514D"/>
    <w:rsid w:val="00C0370A"/>
    <w:rsid w:val="00C16326"/>
    <w:rsid w:val="00C3194B"/>
    <w:rsid w:val="00C34322"/>
    <w:rsid w:val="00C364DB"/>
    <w:rsid w:val="00C40826"/>
    <w:rsid w:val="00C66540"/>
    <w:rsid w:val="00C6688D"/>
    <w:rsid w:val="00CA671F"/>
    <w:rsid w:val="00CB35C9"/>
    <w:rsid w:val="00CB765D"/>
    <w:rsid w:val="00D25368"/>
    <w:rsid w:val="00D27EE5"/>
    <w:rsid w:val="00D37A50"/>
    <w:rsid w:val="00D6034F"/>
    <w:rsid w:val="00D810B1"/>
    <w:rsid w:val="00D86C29"/>
    <w:rsid w:val="00D86EF0"/>
    <w:rsid w:val="00D94A32"/>
    <w:rsid w:val="00D9583B"/>
    <w:rsid w:val="00DA1619"/>
    <w:rsid w:val="00DC67B7"/>
    <w:rsid w:val="00DD2183"/>
    <w:rsid w:val="00DD4A68"/>
    <w:rsid w:val="00DF0A4E"/>
    <w:rsid w:val="00E32CEF"/>
    <w:rsid w:val="00E550A8"/>
    <w:rsid w:val="00E71B5E"/>
    <w:rsid w:val="00E76CE8"/>
    <w:rsid w:val="00EB7A38"/>
    <w:rsid w:val="00EC2CE2"/>
    <w:rsid w:val="00EC7E08"/>
    <w:rsid w:val="00ED0817"/>
    <w:rsid w:val="00ED0FE3"/>
    <w:rsid w:val="00ED719A"/>
    <w:rsid w:val="00EE5C79"/>
    <w:rsid w:val="00F05631"/>
    <w:rsid w:val="00F20FD6"/>
    <w:rsid w:val="00F25946"/>
    <w:rsid w:val="00F37296"/>
    <w:rsid w:val="00F43AA8"/>
    <w:rsid w:val="00F56DFF"/>
    <w:rsid w:val="00F92139"/>
    <w:rsid w:val="00FA569E"/>
    <w:rsid w:val="00FB2868"/>
    <w:rsid w:val="00FC4B93"/>
    <w:rsid w:val="00FE58C5"/>
    <w:rsid w:val="00FF1105"/>
    <w:rsid w:val="76182B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B52965"/>
    <w:rPr>
      <w:color w:val="605E5C"/>
      <w:shd w:val="clear" w:color="auto" w:fill="E1DFDD"/>
    </w:rPr>
  </w:style>
  <w:style w:type="paragraph" w:styleId="EndnoteText">
    <w:name w:val="endnote text"/>
    <w:basedOn w:val="Normal"/>
    <w:link w:val="EndnoteTextChar"/>
    <w:uiPriority w:val="99"/>
    <w:semiHidden/>
    <w:unhideWhenUsed/>
    <w:rsid w:val="00935B51"/>
    <w:rPr>
      <w:sz w:val="20"/>
      <w:szCs w:val="20"/>
    </w:rPr>
  </w:style>
  <w:style w:type="character" w:customStyle="1" w:styleId="EndnoteTextChar">
    <w:name w:val="Endnote Text Char"/>
    <w:basedOn w:val="DefaultParagraphFont"/>
    <w:link w:val="EndnoteText"/>
    <w:uiPriority w:val="99"/>
    <w:semiHidden/>
    <w:rsid w:val="00935B51"/>
    <w:rPr>
      <w:sz w:val="20"/>
      <w:szCs w:val="20"/>
    </w:rPr>
  </w:style>
  <w:style w:type="character" w:styleId="EndnoteReference">
    <w:name w:val="endnote reference"/>
    <w:basedOn w:val="DefaultParagraphFont"/>
    <w:uiPriority w:val="99"/>
    <w:semiHidden/>
    <w:unhideWhenUsed/>
    <w:rsid w:val="00935B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ament.gov.rs/narodna-skupstina-/sastav/radna-tela/radne-grupe.4457.html" TargetMode="External"/><Relationship Id="rId13" Type="http://schemas.openxmlformats.org/officeDocument/2006/relationships/hyperlink" Target="https://www.parlament.gov.rs/Informacija_o_nastavcima_Sedmog_sastanka_Radne_grupe_za_unapre%C4%91enje_izbornog_procesa.50427.941.html" TargetMode="External"/><Relationship Id="rId18" Type="http://schemas.openxmlformats.org/officeDocument/2006/relationships/hyperlink" Target="https://www.parlament.gov.rs/upload/documents/dokumenta/Informacija%20o%20radu%20Radne%20grupe%20za%20unapredjenje%20izbornog%20procesa%20u%20periodu%20od%2011.%20oktobra%20do%2031.%20januara%202025.%20godine.pdf" TargetMode="External"/><Relationship Id="rId3" Type="http://schemas.openxmlformats.org/officeDocument/2006/relationships/styles" Target="styles.xml"/><Relationship Id="rId21" Type="http://schemas.openxmlformats.org/officeDocument/2006/relationships/hyperlink" Target="https://www.parlament.gov.rs/narodna-skupstina-/sastav/radna-tela/radne-grupe.4457.html" TargetMode="External"/><Relationship Id="rId7" Type="http://schemas.openxmlformats.org/officeDocument/2006/relationships/endnotes" Target="endnotes.xml"/><Relationship Id="rId12" Type="http://schemas.openxmlformats.org/officeDocument/2006/relationships/hyperlink" Target="https://www.parlament.gov.rs/Tre%C4%87i_sastanak_Radne_grupe_za_unapre%C4%91enje_izbornog_procesa.49263.941.html" TargetMode="External"/><Relationship Id="rId17" Type="http://schemas.openxmlformats.org/officeDocument/2006/relationships/hyperlink" Target="https://www.parlament.gov.rs/aktivnosti/narodna-skupstina/radna-tela/javna-slusanja.3013.html" TargetMode="External"/><Relationship Id="rId2" Type="http://schemas.openxmlformats.org/officeDocument/2006/relationships/numbering" Target="numbering.xml"/><Relationship Id="rId16" Type="http://schemas.openxmlformats.org/officeDocument/2006/relationships/hyperlink" Target="https://www.parlament.gov.rs/narodna-skupstina-/sastav/radna-tela.5033.html" TargetMode="External"/><Relationship Id="rId20" Type="http://schemas.openxmlformats.org/officeDocument/2006/relationships/hyperlink" Target="https://www.parlament.gov.rs/upload/documents/dokumenta/ODIHR%20komentar%20na%20Nacrt%20zakona%20o%20izmenama%20i%20dopunama%20Zakona%20o%20JBS%20Ugljese%20Mrdica%20od%2011.06.2025.%20-%20engleski.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arlament.gov.rs/aktivnosti/narodna-skupstina/radna-tela/odbori,-pododbori,-radne-grupe/radne-grupe.4488.html" TargetMode="External"/><Relationship Id="rId5" Type="http://schemas.openxmlformats.org/officeDocument/2006/relationships/webSettings" Target="webSettings.xml"/><Relationship Id="rId15" Type="http://schemas.openxmlformats.org/officeDocument/2006/relationships/hyperlink" Target="https://www.parlament.gov.rs/upload/documents/dokumenta/Informacija%20predsedavajuceg%20o%20radu%20Radne%20grupe%2021.05.2024.pdf" TargetMode="External"/><Relationship Id="rId23" Type="http://schemas.openxmlformats.org/officeDocument/2006/relationships/theme" Target="theme/theme1.xml"/><Relationship Id="rId10" Type="http://schemas.openxmlformats.org/officeDocument/2006/relationships/hyperlink" Target="https://www.parlament.gov.rs/upload/documents/dokumenta/06-961_24.pdf" TargetMode="External"/><Relationship Id="rId19" Type="http://schemas.openxmlformats.org/officeDocument/2006/relationships/hyperlink" Target="https://www.parlament.gov.rs/upload/archive/files/cir/pdf/predlozi_zakona/14_saziv/2147-25.pdf" TargetMode="External"/><Relationship Id="rId4" Type="http://schemas.openxmlformats.org/officeDocument/2006/relationships/settings" Target="settings.xml"/><Relationship Id="rId9" Type="http://schemas.openxmlformats.org/officeDocument/2006/relationships/hyperlink" Target="https://www.parlament.gov.rs/upload/archive/files/cir/doc/kalendar/14_saziv/Poziv_na_sastanak_11.4.2024.pdf" TargetMode="External"/><Relationship Id="rId14" Type="http://schemas.openxmlformats.org/officeDocument/2006/relationships/hyperlink" Target="https://www.parlament.gov.rs/narodna-skupstina-/sastav/radna-tela.500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2415</Words>
  <Characters>13866</Characters>
  <Application>Microsoft Office Word</Application>
  <DocSecurity>0</DocSecurity>
  <Lines>315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16182</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7</cp:revision>
  <dcterms:created xsi:type="dcterms:W3CDTF">2026-04-05T20:52:00Z</dcterms:created>
  <dcterms:modified xsi:type="dcterms:W3CDTF">2026-04-24T18:47:00Z</dcterms:modified>
</cp:coreProperties>
</file>